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Nefron</w:t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Anatomie: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- Ledvinné tělísko (Malpighiho tělísko) - Bowmanovo pouzdro dohromady s glomerulem (klubíčko vlásečnic s vas afferens a vas efferens) - proximální tubulus - Henleova klička (sestupné - propustná pro vodu a močovinu, ne však pro soluty a vzestupné - nepropustná pro vodu a močovinu, naopak aktivní transport solutů, tenké raménko a tlustá část Henleovy kličky) -  proximální tubulus - sběrné kanálky a odtud do pánvičky.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Funkce: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Filtrace, resorpce, sekrece. Děje na podkladě transportu - pasivní (ve směru koncentračního nebo elektrického gradientu), primárně aktivní a sekundárně aktivní (transportní bílkoviny - např. Na/K-ATPáza, kterou se vytváří koncentrační gradient pro Na+).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857750" cy="2947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947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- Udržování stáleho objemu tělesných tekutiny (přes udržování koncentrace osmoticky aktivních látek a jejich poměru - Na+, K+, Cl-, Ca2+, Mg2+, HCO3- aj.)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- Regulace krevního tlaku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- Regulace acidobazické rovnováhy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- Vylučování některých katabolitů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Udržování stále koncentrace nízkomolekulárních látek (močovina, k. močová, kreatinin aj.)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Regulace tvorby červených krvinek (přes erytropoetin)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Glomerulární filtrace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vzniká primární moč, 99% se zpět resorbuje, filtrace závisí přímo  na filtrační ploše, prostupnosti filtrační membrány, efektivní ultrafiltrační tlak (mj. dán TK v glomerulárních kapilárách - udržován vysoky, ovlivňován vazokonstrikcí vas efferens/afferens a spolu s autoregulací průtoku krve ledvinou - zajištění glomerulární filtrace relativně nezávisle na kolísání středního tlaku). </w:t>
      </w:r>
    </w:p>
    <w:p w:rsidR="00000000" w:rsidDel="00000000" w:rsidP="00000000" w:rsidRDefault="00000000" w:rsidRPr="00000000" w14:paraId="00000011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Stanovení glomerulární filtrace</w:t>
      </w:r>
      <w:r w:rsidDel="00000000" w:rsidR="00000000" w:rsidRPr="00000000">
        <w:rPr>
          <w:rtl w:val="0"/>
        </w:rPr>
        <w:t xml:space="preserve"> - použít látku, která se vylučuje jen glomerulární filtrací (kreatinin, inulin), např. </w:t>
      </w:r>
      <w:r w:rsidDel="00000000" w:rsidR="00000000" w:rsidRPr="00000000">
        <w:rPr>
          <w:u w:val="single"/>
          <w:rtl w:val="0"/>
        </w:rPr>
        <w:t xml:space="preserve">clearance endogenního kreatininu = objem plazmy, který se za časovou jednotku úplně očistí od kreatininu. Cl ml/s = (UxV)/P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U - koncentrace kreatininu v moči mmol/l, P - koncentrace kreatininu v plazmě mmol/l, V - objem moči (diuréza) ml/s</w:t>
      </w:r>
    </w:p>
    <w:p w:rsidR="00000000" w:rsidDel="00000000" w:rsidP="00000000" w:rsidRDefault="00000000" w:rsidRPr="00000000" w14:paraId="00000013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V praci se používá výpočet dle </w:t>
      </w:r>
      <w:r w:rsidDel="00000000" w:rsidR="00000000" w:rsidRPr="00000000">
        <w:rPr>
          <w:u w:val="single"/>
          <w:rtl w:val="0"/>
        </w:rPr>
        <w:t xml:space="preserve">Cockrofta a Gaulta (dolní norma GFR 1.2 ml/s/1.73 m2): </w:t>
      </w:r>
    </w:p>
    <w:p w:rsidR="00000000" w:rsidDel="00000000" w:rsidP="00000000" w:rsidRDefault="00000000" w:rsidRPr="00000000" w14:paraId="00000014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GF (ml/s) = (140 – věk - roky)x(hmotnost - kg)x(0.85 u žen)/ (48.9 x sérový kreatinin μmol/l)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Akutní selhání ledvin</w:t>
      </w:r>
    </w:p>
    <w:p w:rsidR="00000000" w:rsidDel="00000000" w:rsidP="00000000" w:rsidRDefault="00000000" w:rsidRPr="00000000" w14:paraId="0000001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Definice a klasifikace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Náhle vzniklé, potencionálně reverzibilní snížení renálních funkcí.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Klasifikace stupně selhání dle odchylky GFR, kreatininu a diurézy - RIFLE.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Vzhledem k nedostupným výchozím hodnotám kreatininu a GFR se doporučuje vypočítat  GFR/1.73m2 např. dle rovnice dle Cockrofta a Gaulta a pokles GFR by měl být posouzen vzhledem ke stanovenému dolnímu limitu normy (1.2 ml/s/1.73 m2).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200"/>
        <w:tblGridChange w:id="0">
          <w:tblGrid>
            <w:gridCol w:w="1800"/>
            <w:gridCol w:w="720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RIFLE - klasifikace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- 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Elevace S-kreatininu na 1.5x původní hodnoty nebo pokles GFR o 25% nebo diuréza &lt; 0.5 ml/kg/hodinu po dobu 6 hodin.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- injury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Elevace S-kreatininu na 2x původní hodnoty nebo pokles GFR o 50% nebo diuréza &lt; 0.5 ml/kg/hodinu po dobu 12 hodin.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 - failure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Elevace S-kreatininu na 3x původní hodnoty nebo S-kreatinin &gt; 4 mg/dl, nebo pokles GFR až o 75 %, diuréza &lt;0.3 ml/kg/h po dobu 24 hodin nebo 12 hodinová anurie.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- loss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Perzistující ASL, kompletní ztráta renálních funkcí &gt; 4 týdny.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- end-stage kidney 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Selhání funkce &gt; 3 měsíce. </w:t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Etiopatogeneze: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Prerenální selhání</w:t>
      </w:r>
      <w:r w:rsidDel="00000000" w:rsidR="00000000" w:rsidRPr="00000000">
        <w:rPr>
          <w:rtl w:val="0"/>
        </w:rPr>
        <w:t xml:space="preserve"> - zachovalé glomerulární a tubulární funkce, glomerulární filtrace je snížená v důsledku zhoršení renální perfuze, 20%.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Renální selhání </w:t>
      </w:r>
      <w:r w:rsidDel="00000000" w:rsidR="00000000" w:rsidRPr="00000000">
        <w:rPr>
          <w:rtl w:val="0"/>
        </w:rPr>
        <w:t xml:space="preserve">- zahrnuje onemocnění glomerulů, tubulů a intersticia, 70%. Na jeho rozvoji se podílejí i faktory prerenální.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Postrenální selhání </w:t>
      </w:r>
      <w:r w:rsidDel="00000000" w:rsidR="00000000" w:rsidRPr="00000000">
        <w:rPr>
          <w:rtl w:val="0"/>
        </w:rPr>
        <w:t xml:space="preserve">- iniciálně nárust tubulárního tlaku a pokles glomerulárního filtračního tlaku, posléze se tyto tlaky vyrovnávají a snížená glomerulární filtrace je v důsledku vazokonstrikce ve vas afferens, 10%. 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Prerenální selhání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Stavy snižující efektivní průtok krve ledvinami. </w:t>
      </w:r>
    </w:p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Hypovolémie nejrůznější etiologie, chronické srdeční selhání, septické stavy a jaterní selhání. Dále postižení renální arterie – stenózou, nebo embolie renální tepny.</w:t>
      </w:r>
    </w:p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Renální selhání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Tubulární poškození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ab/>
        <w:t xml:space="preserve">- Nejčastější příčina ASL, hlavně u pacientů jič s preexistující nefropatií.</w:t>
      </w:r>
    </w:p>
    <w:p w:rsidR="00000000" w:rsidDel="00000000" w:rsidP="00000000" w:rsidRDefault="00000000" w:rsidRPr="00000000" w14:paraId="0000003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Etiologie:</w:t>
      </w:r>
      <w:r w:rsidDel="00000000" w:rsidR="00000000" w:rsidRPr="00000000">
        <w:rPr>
          <w:rtl w:val="0"/>
        </w:rPr>
        <w:t xml:space="preserve"> může se vyvinout </w:t>
      </w:r>
      <w:r w:rsidDel="00000000" w:rsidR="00000000" w:rsidRPr="00000000">
        <w:rPr>
          <w:u w:val="single"/>
          <w:rtl w:val="0"/>
        </w:rPr>
        <w:t xml:space="preserve">z prerenální etiologie - ischemická</w:t>
      </w:r>
      <w:r w:rsidDel="00000000" w:rsidR="00000000" w:rsidRPr="00000000">
        <w:rPr>
          <w:rtl w:val="0"/>
        </w:rPr>
        <w:t xml:space="preserve"> (tubulární aparát citlivý na ischemické změny), </w:t>
      </w:r>
      <w:r w:rsidDel="00000000" w:rsidR="00000000" w:rsidRPr="00000000">
        <w:rPr>
          <w:u w:val="single"/>
          <w:rtl w:val="0"/>
        </w:rPr>
        <w:t xml:space="preserve">exogenní a endogenní toxiny - toxická</w:t>
      </w:r>
      <w:r w:rsidDel="00000000" w:rsidR="00000000" w:rsidRPr="00000000">
        <w:rPr>
          <w:rtl w:val="0"/>
        </w:rPr>
        <w:t xml:space="preserve"> (aminoglykosidy, radiokontrastní látky, cisplatina, lehké řetězce imunoglobulinů při mnohočetném myelomu, ethylenglykol), dále</w:t>
      </w:r>
      <w:r w:rsidDel="00000000" w:rsidR="00000000" w:rsidRPr="00000000">
        <w:rPr>
          <w:u w:val="single"/>
          <w:rtl w:val="0"/>
        </w:rPr>
        <w:t xml:space="preserve"> tzv. pigmentová nefropatie </w:t>
      </w:r>
      <w:r w:rsidDel="00000000" w:rsidR="00000000" w:rsidRPr="00000000">
        <w:rPr>
          <w:rtl w:val="0"/>
        </w:rPr>
        <w:t xml:space="preserve">- při susp. na rabdomyolýzu (křečové stavy, bolest svalů, abúzus alkoholu, prochlazení, nadměrné fyzické cvičení, ischemie končetin) nebo na hemolýzu (např. nedávno podaná transfuze). </w:t>
      </w:r>
    </w:p>
    <w:p w:rsidR="00000000" w:rsidDel="00000000" w:rsidP="00000000" w:rsidRDefault="00000000" w:rsidRPr="00000000" w14:paraId="0000003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Závažné tubulární poškození vede k </w:t>
      </w:r>
      <w:r w:rsidDel="00000000" w:rsidR="00000000" w:rsidRPr="00000000">
        <w:rPr>
          <w:b w:val="1"/>
          <w:rtl w:val="0"/>
        </w:rPr>
        <w:t xml:space="preserve">akutní tubulární nekróze</w:t>
      </w:r>
      <w:r w:rsidDel="00000000" w:rsidR="00000000" w:rsidRPr="00000000">
        <w:rPr>
          <w:rtl w:val="0"/>
        </w:rPr>
        <w:t xml:space="preserve"> (např. u pacientů s protrahovanou hypotenzní vzniklou s návaznosti na srdeční zástavu, krvácení, septický stav, chirurgický zákrok aj.).</w:t>
      </w:r>
    </w:p>
    <w:p w:rsidR="00000000" w:rsidDel="00000000" w:rsidP="00000000" w:rsidRDefault="00000000" w:rsidRPr="00000000" w14:paraId="0000003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Rozvoj oliganurie, často reparace polyurickou fází, někdy nutná HD.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Intersticiální poškození</w:t>
      </w:r>
    </w:p>
    <w:p w:rsidR="00000000" w:rsidDel="00000000" w:rsidP="00000000" w:rsidRDefault="00000000" w:rsidRPr="00000000" w14:paraId="0000003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Méně časté, jde ruku v ruce s postižením tubulárního aparátu - tubulointersticiální nefritidy - TIN. </w:t>
      </w:r>
    </w:p>
    <w:p w:rsidR="00000000" w:rsidDel="00000000" w:rsidP="00000000" w:rsidRDefault="00000000" w:rsidRPr="00000000" w14:paraId="0000003A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- Akutní pyelonefritida, akutní alergická intersticiální nefritida, parainfekční (hantaviry, EBV, CMV atd.), autoimunitní onemocnění (systémový lupus erythematodes), infiltrativní onemocnění (sarkoidóza, lymfom).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Poškození glomerulů</w:t>
      </w:r>
    </w:p>
    <w:p w:rsidR="00000000" w:rsidDel="00000000" w:rsidP="00000000" w:rsidRDefault="00000000" w:rsidRPr="00000000" w14:paraId="0000003C">
      <w:pPr>
        <w:ind w:left="72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V minulosti dnes už vzácnou </w:t>
      </w:r>
      <w:r w:rsidDel="00000000" w:rsidR="00000000" w:rsidRPr="00000000">
        <w:rPr>
          <w:u w:val="single"/>
          <w:rtl w:val="0"/>
        </w:rPr>
        <w:t xml:space="preserve">poststreptokokovou glomerulonefritidou.</w:t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Některé formy </w:t>
      </w:r>
      <w:r w:rsidDel="00000000" w:rsidR="00000000" w:rsidRPr="00000000">
        <w:rPr>
          <w:u w:val="single"/>
          <w:rtl w:val="0"/>
        </w:rPr>
        <w:t xml:space="preserve">rychle progredujících glomerulonefritid.</w:t>
      </w:r>
    </w:p>
    <w:p w:rsidR="00000000" w:rsidDel="00000000" w:rsidP="00000000" w:rsidRDefault="00000000" w:rsidRPr="00000000" w14:paraId="0000003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Nefritický syndrom s hematurií a hypertenzí.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Primárně cévní parenchymové poškození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hypertenzní krize, polyartritis nodosa a ostatní vaskulitidy.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Postrenální selhání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Obstrukce močového systému od úrovně tubulů až po uretru.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Tubulární obstrukce</w:t>
      </w:r>
      <w:r w:rsidDel="00000000" w:rsidR="00000000" w:rsidRPr="00000000">
        <w:rPr>
          <w:rtl w:val="0"/>
        </w:rPr>
        <w:t xml:space="preserve"> - při vylučování krystalů řady léků (acyclovir, sulfonamid, methotrexat), k. močové, kalcium oxalát a při precipitaci lehkých řetězců imunoglobulinu při mnohočetném myelomu. 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Obstrukce močovodů</w:t>
      </w:r>
      <w:r w:rsidDel="00000000" w:rsidR="00000000" w:rsidRPr="00000000">
        <w:rPr>
          <w:rtl w:val="0"/>
        </w:rPr>
        <w:t xml:space="preserve"> - ureterální obstrukci jednostrannou nebo oboustrannou u retroperitoneálních tumorů, při retroperitoneální fibróze (propranolol, hydralazin, metisergid), urolitiáze, papilární nekróze.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Obstrukce močového měchýře a uretry</w:t>
      </w:r>
      <w:r w:rsidDel="00000000" w:rsidR="00000000" w:rsidRPr="00000000">
        <w:rPr>
          <w:rtl w:val="0"/>
        </w:rPr>
        <w:t xml:space="preserve"> - hypertrofie či karcinom prostaty, gynekologické operace a karcinom hlavně děložního hrdla, karcinom močového měchýře, kolorektální karcinom, obstrukce močového měchýře koaguly, konkrementy, striktura uretry, neprůchodnost PMK. </w:t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Iatrogenní poškození</w:t>
      </w:r>
    </w:p>
    <w:p w:rsidR="00000000" w:rsidDel="00000000" w:rsidP="00000000" w:rsidRDefault="00000000" w:rsidRPr="00000000" w14:paraId="0000004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Rizikové skupiny - starší lidé, diabetici, hypertonici s vaskulární nefrosklerózou, pacienti s městnavou srdeční slabostí, po kardiochirurgických výkonech, dehydratovaní, pacienti se stenózou renální arterie a pacienti se žloutenkou. </w:t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Aminoglykosidy, nesteroidní antiflogistika, diuretika a ACEI, dále radiokontrastní látky (místo toho možné použití gadolinia). </w:t>
      </w:r>
    </w:p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laboratorní vyšetření: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</w:t>
      </w:r>
      <w:r w:rsidDel="00000000" w:rsidR="00000000" w:rsidRPr="00000000">
        <w:rPr>
          <w:u w:val="single"/>
          <w:rtl w:val="0"/>
        </w:rPr>
        <w:t xml:space="preserve">lazmatická koncentrace urey:</w:t>
      </w:r>
      <w:r w:rsidDel="00000000" w:rsidR="00000000" w:rsidRPr="00000000">
        <w:rPr>
          <w:rtl w:val="0"/>
        </w:rPr>
        <w:t xml:space="preserve"> špatně vypovídá o glomerulární filtraci a závisí na rychlosti průtoku moči tubulárním aparátem (diuréza). Při prerenálním selhání dochází k pomalému průtoku moči tubulárním aparátem (urea se tedy více reabsorbuje) a dochází k neúměrnému poklesu GFR a disproporcionálnímu nárůstu urey vůči kreatininu (nad 20). Dále zvýšená koncentrace urey při současně zachovalé GFR - při její zvýšené produkci (medikace steroidy, trauma, krvácení do GIT, katabolické stavy). Naopak nízké hodnoty urey při malnutrici a onemocnění jater.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Plazmatická koncentrace kreatininu </w:t>
      </w:r>
      <w:r w:rsidDel="00000000" w:rsidR="00000000" w:rsidRPr="00000000">
        <w:rPr>
          <w:rtl w:val="0"/>
        </w:rPr>
        <w:t xml:space="preserve">- výpočet clearance endogenního kreatininu (GF). Tvorba kreatininu závisí na svalové hmotě, věku a pohlaví.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Krevní obraz vč. schistocytů a koagulace.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Biochemické vyšetření krve: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mineralogram vč. vápníku a fosforu (častá hyperkalémie a hypokalcémie), kyselina močová, LDH, CK, myoglobin aj.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Elektroforéza sérových bílkovin.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Mikroskopický rozbor moči: </w:t>
      </w:r>
    </w:p>
    <w:p w:rsidR="00000000" w:rsidDel="00000000" w:rsidP="00000000" w:rsidRDefault="00000000" w:rsidRPr="00000000" w14:paraId="00000056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buněčnosti močového sedimentu, přítomnosti válců nebo krystalů</w:t>
      </w:r>
    </w:p>
    <w:p w:rsidR="00000000" w:rsidDel="00000000" w:rsidP="00000000" w:rsidRDefault="00000000" w:rsidRPr="00000000" w14:paraId="00000057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normální močový sediment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prerenální nebo postrenální selhání</w:t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granulární válce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ATN, glomerulonefritidy, intersticiální nefritida</w:t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 erytrocytární válce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glomerulonefritidy, maligní  hypertenze</w:t>
      </w:r>
    </w:p>
    <w:p w:rsidR="00000000" w:rsidDel="00000000" w:rsidP="00000000" w:rsidRDefault="00000000" w:rsidRPr="00000000" w14:paraId="0000005A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leukocytární válce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 akutní intersticiální nefritida, pyelonefritida </w:t>
      </w:r>
    </w:p>
    <w:p w:rsidR="00000000" w:rsidDel="00000000" w:rsidP="00000000" w:rsidRDefault="00000000" w:rsidRPr="00000000" w14:paraId="0000005B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eosinofilurie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akutní alergická intersticiální nefritida</w:t>
      </w:r>
    </w:p>
    <w:p w:rsidR="00000000" w:rsidDel="00000000" w:rsidP="00000000" w:rsidRDefault="00000000" w:rsidRPr="00000000" w14:paraId="0000005C">
      <w:pPr>
        <w:ind w:left="144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 krystalurie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kyselina močová, kalcium oxalát, acyclovir, sulfonamidy, methotrexat aj.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Biochemické vyšetření moče: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před podáním diuretik</w:t>
      </w:r>
    </w:p>
    <w:p w:rsidR="00000000" w:rsidDel="00000000" w:rsidP="00000000" w:rsidRDefault="00000000" w:rsidRPr="00000000" w14:paraId="0000005E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- Močový nález svědčící pro prerenální ASL: </w:t>
      </w:r>
    </w:p>
    <w:p w:rsidR="00000000" w:rsidDel="00000000" w:rsidP="00000000" w:rsidRDefault="00000000" w:rsidRPr="00000000" w14:paraId="0000005F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specifická hmotnost moči &gt; 1,018 </w:t>
      </w:r>
    </w:p>
    <w:p w:rsidR="00000000" w:rsidDel="00000000" w:rsidP="00000000" w:rsidRDefault="00000000" w:rsidRPr="00000000" w14:paraId="00000060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osmolalita moči (mOsm/kg H2O) &gt; 500</w:t>
      </w:r>
    </w:p>
    <w:p w:rsidR="00000000" w:rsidDel="00000000" w:rsidP="00000000" w:rsidRDefault="00000000" w:rsidRPr="00000000" w14:paraId="00000061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 koncentrace sodíku v moči (mmol/l) &lt; 15–20 </w:t>
      </w:r>
    </w:p>
    <w:p w:rsidR="00000000" w:rsidDel="00000000" w:rsidP="00000000" w:rsidRDefault="00000000" w:rsidRPr="00000000" w14:paraId="00000062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 močový/plazmatický poměr kreatininu (μmol/l) &gt; 40</w:t>
      </w:r>
    </w:p>
    <w:p w:rsidR="00000000" w:rsidDel="00000000" w:rsidP="00000000" w:rsidRDefault="00000000" w:rsidRPr="00000000" w14:paraId="00000063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- Močový nález svědčící pro ATN: </w:t>
      </w:r>
    </w:p>
    <w:p w:rsidR="00000000" w:rsidDel="00000000" w:rsidP="00000000" w:rsidRDefault="00000000" w:rsidRPr="00000000" w14:paraId="00000064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specifická hmotnost moči &lt; 1,012</w:t>
      </w:r>
    </w:p>
    <w:p w:rsidR="00000000" w:rsidDel="00000000" w:rsidP="00000000" w:rsidRDefault="00000000" w:rsidRPr="00000000" w14:paraId="00000065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osmolalita moči (mOsm/kg H2O) &lt; 500 </w:t>
      </w:r>
    </w:p>
    <w:p w:rsidR="00000000" w:rsidDel="00000000" w:rsidP="00000000" w:rsidRDefault="00000000" w:rsidRPr="00000000" w14:paraId="00000066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koncentrace sodíku v moči (mmol/l) &gt; 20 </w:t>
      </w:r>
    </w:p>
    <w:p w:rsidR="00000000" w:rsidDel="00000000" w:rsidP="00000000" w:rsidRDefault="00000000" w:rsidRPr="00000000" w14:paraId="00000067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močový/plazmatický poměr kreatininu (μmol/l) &lt; 20</w:t>
      </w:r>
    </w:p>
    <w:p w:rsidR="00000000" w:rsidDel="00000000" w:rsidP="00000000" w:rsidRDefault="00000000" w:rsidRPr="00000000" w14:paraId="00000068">
      <w:pPr>
        <w:ind w:left="72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- Výpočet frakční exkrece sodíku (FE-Na):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 umožňuje zhodnocení filtrace i resorpce Na. Nárůst FE-Na může předcházet oligurické fázi ASL. </w:t>
      </w:r>
    </w:p>
    <w:p w:rsidR="00000000" w:rsidDel="00000000" w:rsidP="00000000" w:rsidRDefault="00000000" w:rsidRPr="00000000" w14:paraId="00000069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FE Na = (M-Na/P-Na)/(M-kreatinin/P-kreatinin) </w:t>
      </w:r>
    </w:p>
    <w:p w:rsidR="00000000" w:rsidDel="00000000" w:rsidP="00000000" w:rsidRDefault="00000000" w:rsidRPr="00000000" w14:paraId="0000006A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FE Na &lt; 1 % = prerenální ASL </w:t>
      </w:r>
    </w:p>
    <w:p w:rsidR="00000000" w:rsidDel="00000000" w:rsidP="00000000" w:rsidRDefault="00000000" w:rsidRPr="00000000" w14:paraId="0000006B">
      <w:pPr>
        <w:ind w:left="720" w:firstLine="72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FE Na &gt; 1 % = intrarenální ASL</w:t>
      </w:r>
    </w:p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Výdej moči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- Špatně koreluje s GFR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Anurické selhání:</w:t>
      </w:r>
      <w:r w:rsidDel="00000000" w:rsidR="00000000" w:rsidRPr="00000000">
        <w:rPr>
          <w:rtl w:val="0"/>
        </w:rPr>
        <w:t xml:space="preserve"> do 100 ml/d, např. obstrukce vývodných cest močových, uzávěr renální arterie, rychle progredující glomerulonefritidy, difuzní bilaterální kortikální nekróza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Oligurické selhání: </w:t>
      </w:r>
      <w:r w:rsidDel="00000000" w:rsidR="00000000" w:rsidRPr="00000000">
        <w:rPr>
          <w:rtl w:val="0"/>
        </w:rPr>
        <w:t xml:space="preserve">100-400 ml/den, např. prerenální selhání, hepatorenální syndrom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Neoligurické selhání:</w:t>
      </w:r>
      <w:r w:rsidDel="00000000" w:rsidR="00000000" w:rsidRPr="00000000">
        <w:rPr>
          <w:rtl w:val="0"/>
        </w:rPr>
        <w:t xml:space="preserve"> nad 400 ml/den, 50-60%, např. akutní tubulointersticiální nefritida, akutní glomerulonefritidy, parciální obstrukce močových cest, toxická nebo ischemická ATN, radiokontrastní nefropatie, rabdomyolýza.</w:t>
      </w:r>
    </w:p>
    <w:p w:rsidR="00000000" w:rsidDel="00000000" w:rsidP="00000000" w:rsidRDefault="00000000" w:rsidRPr="00000000" w14:paraId="0000007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Zobrazovací metody: </w:t>
      </w:r>
    </w:p>
    <w:p w:rsidR="00000000" w:rsidDel="00000000" w:rsidP="00000000" w:rsidRDefault="00000000" w:rsidRPr="00000000" w14:paraId="00000072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  <w:t xml:space="preserve">- S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onografie ledvin a močového měchýře, event. včetně duplexního sona renálních tepen,</w:t>
      </w:r>
    </w:p>
    <w:p w:rsidR="00000000" w:rsidDel="00000000" w:rsidP="00000000" w:rsidRDefault="00000000" w:rsidRPr="00000000" w14:paraId="00000073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CT, MRA, vylučovací urografie, antegrádní pyelografie, cystoureterografie aj. </w:t>
      </w:r>
    </w:p>
    <w:p w:rsidR="00000000" w:rsidDel="00000000" w:rsidP="00000000" w:rsidRDefault="00000000" w:rsidRPr="00000000" w14:paraId="00000074">
      <w:pPr>
        <w:jc w:val="both"/>
        <w:rPr>
          <w:rFonts w:ascii="Roboto" w:cs="Roboto" w:eastAsia="Roboto" w:hAnsi="Roboto"/>
          <w:b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4) Event. renální biopsie</w:t>
      </w:r>
    </w:p>
    <w:p w:rsidR="00000000" w:rsidDel="00000000" w:rsidP="00000000" w:rsidRDefault="00000000" w:rsidRPr="00000000" w14:paraId="00000075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Roboto" w:cs="Roboto" w:eastAsia="Roboto" w:hAnsi="Roboto"/>
          <w:b w:val="1"/>
          <w:color w:val="21252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u w:val="single"/>
          <w:rtl w:val="0"/>
        </w:rPr>
        <w:t xml:space="preserve">Profylaxe</w:t>
      </w:r>
    </w:p>
    <w:p w:rsidR="00000000" w:rsidDel="00000000" w:rsidP="00000000" w:rsidRDefault="00000000" w:rsidRPr="00000000" w14:paraId="00000077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 U predisponovaných pacientů udržení adekvátní hydratace, korekci hypotenze a vyloučení podávání nefrotoxických léků a látek.</w:t>
      </w:r>
    </w:p>
    <w:p w:rsidR="00000000" w:rsidDel="00000000" w:rsidP="00000000" w:rsidRDefault="00000000" w:rsidRPr="00000000" w14:paraId="00000078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Roboto" w:cs="Roboto" w:eastAsia="Roboto" w:hAnsi="Roboto"/>
          <w:b w:val="1"/>
          <w:color w:val="21252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7A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Při akutním zhoršení renálních funkcí je na prvním místě nutné vyloučit ultrazvukovým vyšetření subrenální obstrukci, před zahájením terapie. </w:t>
      </w:r>
    </w:p>
    <w:p w:rsidR="00000000" w:rsidDel="00000000" w:rsidP="00000000" w:rsidRDefault="00000000" w:rsidRPr="00000000" w14:paraId="0000007B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Zajištění optimálního stavu hydratace pacienta - hypovolémie potencuje a vyvolává všechny typy ASL. </w:t>
      </w:r>
    </w:p>
    <w:p w:rsidR="00000000" w:rsidDel="00000000" w:rsidP="00000000" w:rsidRDefault="00000000" w:rsidRPr="00000000" w14:paraId="0000007C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Úprava poruch iontového hospodářství, acidobázy.</w:t>
      </w:r>
    </w:p>
    <w:p w:rsidR="00000000" w:rsidDel="00000000" w:rsidP="00000000" w:rsidRDefault="00000000" w:rsidRPr="00000000" w14:paraId="0000007D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Zavedení močového katetru.</w:t>
      </w:r>
    </w:p>
    <w:p w:rsidR="00000000" w:rsidDel="00000000" w:rsidP="00000000" w:rsidRDefault="00000000" w:rsidRPr="00000000" w14:paraId="0000007E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Monitorace centrálního žilního tlaku.</w:t>
      </w:r>
    </w:p>
    <w:p w:rsidR="00000000" w:rsidDel="00000000" w:rsidP="00000000" w:rsidRDefault="00000000" w:rsidRPr="00000000" w14:paraId="0000007F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Zajištění potřeby živin a energie energie.</w:t>
      </w:r>
    </w:p>
    <w:p w:rsidR="00000000" w:rsidDel="00000000" w:rsidP="00000000" w:rsidRDefault="00000000" w:rsidRPr="00000000" w14:paraId="00000080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Kličková diuretika (furosemid) - cílem podání diuretik je konverze oligurického ASL na neoligurické, které má nižší mortalitu a rychlejší reparaci renálních funkcí. Většina studií však přínos diuretik v tomto směru neprokázala. Aplikace diuretik u hypovolemického oligurického pacienta ve snaze o navození diurézy může vést k těžkému iatrogennímu poškození. Pokud už jsou kličková diuretika podávána, jen v řešení stavů spojených s převodněním a vhodnější je jejich kontinuální podávání v dávce &gt; 600 mg/den.</w:t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Vazodilatační léky - dopamin (ALS + HF) a noradrenalin - úprava středního arteriálního tlaku zásadně přispívá k obnově GF.</w:t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jc w:val="both"/>
        <w:rPr>
          <w:rFonts w:ascii="Roboto" w:cs="Roboto" w:eastAsia="Roboto" w:hAnsi="Roboto"/>
          <w:b w:val="1"/>
          <w:color w:val="21252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u w:val="single"/>
          <w:rtl w:val="0"/>
        </w:rPr>
        <w:t xml:space="preserve">Náhrada funkce ledvin:</w:t>
      </w:r>
    </w:p>
    <w:p w:rsidR="00000000" w:rsidDel="00000000" w:rsidP="00000000" w:rsidRDefault="00000000" w:rsidRPr="00000000" w14:paraId="00000084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Intermitentní hemodialýza, kontinuální venovenózní hemofiltrace a peritoneální dialýza. </w:t>
      </w:r>
    </w:p>
    <w:p w:rsidR="00000000" w:rsidDel="00000000" w:rsidP="00000000" w:rsidRDefault="00000000" w:rsidRPr="00000000" w14:paraId="00000085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Mortalita u pacientů starších 80 let je podobná jako u mladších pacientů, věk není  indikací/kontraindikací zahájení akutní náhrady funkce ledvin.</w:t>
      </w:r>
    </w:p>
    <w:p w:rsidR="00000000" w:rsidDel="00000000" w:rsidP="00000000" w:rsidRDefault="00000000" w:rsidRPr="00000000" w14:paraId="00000086">
      <w:pPr>
        <w:ind w:left="0" w:firstLine="0"/>
        <w:jc w:val="both"/>
        <w:rPr>
          <w:rFonts w:ascii="Roboto" w:cs="Roboto" w:eastAsia="Roboto" w:hAnsi="Roboto"/>
          <w:b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- Kritéria zahájení:</w:t>
      </w:r>
    </w:p>
    <w:p w:rsidR="00000000" w:rsidDel="00000000" w:rsidP="00000000" w:rsidRDefault="00000000" w:rsidRPr="00000000" w14:paraId="00000087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symptomatická urémie (nauzea, vomitus, perikarditida aj.)</w:t>
      </w:r>
    </w:p>
    <w:p w:rsidR="00000000" w:rsidDel="00000000" w:rsidP="00000000" w:rsidRDefault="00000000" w:rsidRPr="00000000" w14:paraId="00000088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refrakterní převodnění</w:t>
      </w:r>
    </w:p>
    <w:p w:rsidR="00000000" w:rsidDel="00000000" w:rsidP="00000000" w:rsidRDefault="00000000" w:rsidRPr="00000000" w14:paraId="00000089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oligurie trvající déle, než 3 dny</w:t>
      </w:r>
    </w:p>
    <w:p w:rsidR="00000000" w:rsidDel="00000000" w:rsidP="00000000" w:rsidRDefault="00000000" w:rsidRPr="00000000" w14:paraId="0000008A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hyperkalémie (nad 6.5 mmol/l) nebo progresivně vzrůstající</w:t>
      </w:r>
    </w:p>
    <w:p w:rsidR="00000000" w:rsidDel="00000000" w:rsidP="00000000" w:rsidRDefault="00000000" w:rsidRPr="00000000" w14:paraId="0000008B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metabolická acidóza (pH pod 7.1)</w:t>
      </w:r>
    </w:p>
    <w:p w:rsidR="00000000" w:rsidDel="00000000" w:rsidP="00000000" w:rsidRDefault="00000000" w:rsidRPr="00000000" w14:paraId="0000008C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urémie (nad 29-36 mmol/l)</w:t>
      </w:r>
    </w:p>
    <w:p w:rsidR="00000000" w:rsidDel="00000000" w:rsidP="00000000" w:rsidRDefault="00000000" w:rsidRPr="00000000" w14:paraId="0000008D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hyperkalcémie (nad 4.5 mmol/l)</w:t>
      </w:r>
    </w:p>
    <w:p w:rsidR="00000000" w:rsidDel="00000000" w:rsidP="00000000" w:rsidRDefault="00000000" w:rsidRPr="00000000" w14:paraId="0000008E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hyperurikémie (nad 1000 umol/l</w:t>
      </w:r>
    </w:p>
    <w:p w:rsidR="00000000" w:rsidDel="00000000" w:rsidP="00000000" w:rsidRDefault="00000000" w:rsidRPr="00000000" w14:paraId="0000008F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těžká dysnatrémie (pod 120 nebo nad 150 mmol/l)</w:t>
      </w:r>
    </w:p>
    <w:p w:rsidR="00000000" w:rsidDel="00000000" w:rsidP="00000000" w:rsidRDefault="00000000" w:rsidRPr="00000000" w14:paraId="00000090">
      <w:pPr>
        <w:ind w:left="0" w:firstLine="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ab/>
        <w:t xml:space="preserve">- intoxikace dialyzovatelnou látkou (metanol, etylenglykol, teofylin, aspirin, litium….)</w:t>
      </w:r>
    </w:p>
    <w:p w:rsidR="00000000" w:rsidDel="00000000" w:rsidP="00000000" w:rsidRDefault="00000000" w:rsidRPr="00000000" w14:paraId="00000091">
      <w:pPr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